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11" w:rsidRPr="00844AD5" w:rsidRDefault="00056611" w:rsidP="00CC51A5">
      <w:pPr>
        <w:spacing w:line="240" w:lineRule="auto"/>
        <w:rPr>
          <w:b/>
          <w:bCs/>
          <w:sz w:val="21"/>
          <w:szCs w:val="21"/>
        </w:rPr>
      </w:pPr>
    </w:p>
    <w:p w:rsidR="00056611" w:rsidRDefault="00056611" w:rsidP="00056611">
      <w:pPr>
        <w:spacing w:line="240" w:lineRule="auto"/>
        <w:ind w:left="720"/>
        <w:rPr>
          <w:sz w:val="20"/>
          <w:szCs w:val="20"/>
        </w:rPr>
      </w:pPr>
    </w:p>
    <w:p w:rsidR="00FC1108" w:rsidRPr="00FC1108" w:rsidRDefault="00FC1108" w:rsidP="00FC110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ABANCA</w:t>
      </w:r>
    </w:p>
    <w:p w:rsidR="001A2DC2" w:rsidRPr="00056611" w:rsidRDefault="001A2DC2" w:rsidP="0005661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56611">
        <w:rPr>
          <w:sz w:val="20"/>
          <w:szCs w:val="20"/>
        </w:rPr>
        <w:t>ABN AMRO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Absa 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Access Bank  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Allied Irish Banks (AIB)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ALEXBANK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Alpha Bank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Amalgamated 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Arab African International Bank (AAIB)  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Arion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rFonts w:cstheme="minorHAnsi"/>
          <w:sz w:val="20"/>
          <w:szCs w:val="20"/>
          <w:lang w:eastAsia="en-US"/>
        </w:rPr>
        <w:t>Australia and New Zealand Banking Group Limited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Banca Monte dei Paschi di Siena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Bancolombia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Banco Bradesco  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de Fomento Agropecuario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Galicia</w:t>
      </w:r>
    </w:p>
    <w:p w:rsidR="00D62F7A" w:rsidRPr="00D62F7A" w:rsidRDefault="001A2DC2" w:rsidP="00D62F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Genera</w:t>
      </w:r>
      <w:r w:rsidR="00D62F7A">
        <w:rPr>
          <w:sz w:val="20"/>
          <w:szCs w:val="20"/>
          <w:lang w:val="es-ES"/>
        </w:rPr>
        <w:t>l</w:t>
      </w:r>
    </w:p>
    <w:p w:rsidR="00D62F7A" w:rsidRDefault="001A2DC2" w:rsidP="00D62F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Guayaquil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Hipotecario de El Salvador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Banco Pichincha  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Popular Dominicano  </w:t>
      </w:r>
    </w:p>
    <w:p w:rsidR="00844AD5" w:rsidRDefault="001A2DC2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Promerica Costa Rica</w:t>
      </w:r>
    </w:p>
    <w:p w:rsid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Banco Sabadell</w:t>
      </w:r>
    </w:p>
    <w:p w:rsid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Banesco Panama</w:t>
      </w:r>
    </w:p>
    <w:p w:rsid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Bankia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Banorte  </w:t>
      </w:r>
    </w:p>
    <w:p w:rsidR="000B1B79" w:rsidRPr="00844AD5" w:rsidRDefault="001A2DC2" w:rsidP="00844AD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844AD5">
        <w:rPr>
          <w:sz w:val="20"/>
          <w:szCs w:val="20"/>
          <w:lang w:val="es-ES"/>
        </w:rPr>
        <w:t>Banpro Grupo Promerica Nicaragua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Banque Misr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</w:rPr>
        <w:t>Barclays 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BBVA  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BBVA Argentina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BBVA Mexico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  <w:lang w:val="es-ES"/>
        </w:rPr>
      </w:pPr>
      <w:r w:rsidRPr="000717F4">
        <w:rPr>
          <w:sz w:val="20"/>
          <w:szCs w:val="20"/>
          <w:lang w:val="es-ES"/>
        </w:rPr>
        <w:t>BBVA USA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BCC-Grupo Cooperativo Cajamar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Beneficial State Bank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BMCE Bank of Africa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BNP Paribas  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BPCE</w:t>
      </w:r>
    </w:p>
    <w:p w:rsidR="00CC51A5" w:rsidRPr="00CC51A5" w:rsidRDefault="001A2DC2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CaixaBank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Caixa Geral de Depositos</w:t>
      </w:r>
    </w:p>
    <w:p w:rsidR="00CC51A5" w:rsidRPr="000717F4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CIB  </w:t>
      </w:r>
    </w:p>
    <w:p w:rsidR="00CC51A5" w:rsidRPr="000717F4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CIMB</w:t>
      </w:r>
    </w:p>
    <w:p w:rsid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Citi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Citibanamex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Commerzbank</w:t>
      </w:r>
    </w:p>
    <w:p w:rsidR="00056611" w:rsidRPr="00056611" w:rsidRDefault="00CC51A5" w:rsidP="00056611">
      <w:pPr>
        <w:pStyle w:val="ListParagraph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1A2DC2" w:rsidRPr="00CC51A5" w:rsidRDefault="001A2DC2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C51A5">
        <w:rPr>
          <w:sz w:val="20"/>
          <w:szCs w:val="20"/>
        </w:rPr>
        <w:t>Coopeservidores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Credit Agricole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Credit Suisse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Danske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Desjardins Group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Deutsche Bank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 xml:space="preserve">Development Bank </w:t>
      </w:r>
      <w:r w:rsidR="00C07946">
        <w:rPr>
          <w:sz w:val="20"/>
          <w:szCs w:val="20"/>
        </w:rPr>
        <w:t xml:space="preserve">of the </w:t>
      </w:r>
      <w:r w:rsidRPr="000717F4">
        <w:rPr>
          <w:sz w:val="20"/>
          <w:szCs w:val="20"/>
        </w:rPr>
        <w:t>Philippines</w:t>
      </w:r>
    </w:p>
    <w:p w:rsidR="000717F4" w:rsidRPr="000717F4" w:rsidRDefault="000717F4" w:rsidP="000717F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 xml:space="preserve">Development and Investment Bank of Turkey 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De Volksbank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DGB Financial Group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DNB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Ecology Building Society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Eurobank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Fana Sparebank</w:t>
      </w:r>
    </w:p>
    <w:p w:rsidR="00056611" w:rsidRPr="00056611" w:rsidRDefault="00056611" w:rsidP="0005661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First City Monument Bank</w:t>
      </w:r>
    </w:p>
    <w:p w:rsidR="00CC51A5" w:rsidRPr="000717F4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Garanti BBVA</w:t>
      </w:r>
    </w:p>
    <w:p w:rsidR="00CC51A5" w:rsidRPr="000717F4" w:rsidRDefault="00CC51A5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Gatehouse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GLS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Global Bank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Globalance Bank</w:t>
      </w:r>
    </w:p>
    <w:p w:rsidR="001A2DC2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Golomt 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Hana Financial Group</w:t>
      </w:r>
    </w:p>
    <w:p w:rsidR="00D62F7A" w:rsidRPr="00D62F7A" w:rsidRDefault="001A2DC2" w:rsidP="00D62F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Handelsbanken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Hua Xia</w:t>
      </w:r>
      <w:r w:rsidR="002843B7">
        <w:rPr>
          <w:sz w:val="20"/>
          <w:szCs w:val="20"/>
        </w:rPr>
        <w:t xml:space="preserve"> 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ICBC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IDLC</w:t>
      </w:r>
      <w:r w:rsidR="000717F4" w:rsidRPr="000717F4">
        <w:rPr>
          <w:sz w:val="20"/>
          <w:szCs w:val="20"/>
        </w:rPr>
        <w:t xml:space="preserve"> Finance Limited</w:t>
      </w:r>
    </w:p>
    <w:p w:rsidR="00D62F7A" w:rsidRPr="00D62F7A" w:rsidRDefault="001A2DC2" w:rsidP="00D62F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62F7A">
        <w:rPr>
          <w:sz w:val="20"/>
          <w:szCs w:val="20"/>
        </w:rPr>
        <w:t>Industrial Bank (China)</w:t>
      </w:r>
    </w:p>
    <w:p w:rsidR="000717F4" w:rsidRDefault="000717F4" w:rsidP="000717F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Industrial Development Bank of Turkey (TSKB)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ING</w:t>
      </w:r>
    </w:p>
    <w:p w:rsidR="00D62F7A" w:rsidRPr="00D62F7A" w:rsidRDefault="001A2DC2" w:rsidP="00D62F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Innovati</w:t>
      </w:r>
      <w:r w:rsidR="00E277DB">
        <w:rPr>
          <w:sz w:val="20"/>
          <w:szCs w:val="20"/>
        </w:rPr>
        <w:t>on</w:t>
      </w:r>
      <w:r w:rsidRPr="000717F4">
        <w:rPr>
          <w:sz w:val="20"/>
          <w:szCs w:val="20"/>
        </w:rPr>
        <w:t xml:space="preserve"> Credit Unio</w:t>
      </w:r>
      <w:r w:rsidR="00D62F7A">
        <w:rPr>
          <w:sz w:val="20"/>
          <w:szCs w:val="20"/>
        </w:rPr>
        <w:t>n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Itaú Unibanco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Intesa Sanpaolo</w:t>
      </w:r>
    </w:p>
    <w:p w:rsidR="00844AD5" w:rsidRPr="00CC51A5" w:rsidRDefault="001A2DC2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J</w:t>
      </w:r>
      <w:r w:rsidR="006A4780">
        <w:rPr>
          <w:sz w:val="20"/>
          <w:szCs w:val="20"/>
        </w:rPr>
        <w:t>.</w:t>
      </w:r>
      <w:r w:rsidRPr="000717F4">
        <w:rPr>
          <w:sz w:val="20"/>
          <w:szCs w:val="20"/>
        </w:rPr>
        <w:t xml:space="preserve"> Safra Sarasin</w:t>
      </w:r>
    </w:p>
    <w:p w:rsidR="000B1B79" w:rsidRPr="00844AD5" w:rsidRDefault="001A2DC2" w:rsidP="00844AD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Jaiz Ban</w:t>
      </w:r>
      <w:r w:rsidR="00844AD5">
        <w:rPr>
          <w:sz w:val="20"/>
          <w:szCs w:val="20"/>
        </w:rPr>
        <w:t>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Julius Baer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Jyske Bank  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KB Financial Group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KCB</w:t>
      </w:r>
      <w:r w:rsidR="00F374CA">
        <w:rPr>
          <w:sz w:val="20"/>
          <w:szCs w:val="20"/>
        </w:rPr>
        <w:t xml:space="preserve"> Group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KBC Group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Keystone Bank</w:t>
      </w:r>
    </w:p>
    <w:p w:rsidR="00D62F7A" w:rsidRPr="000B1B79" w:rsidRDefault="001A2DC2" w:rsidP="000B1B7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KLP Banken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La Banque Postale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LABORAL Kutxa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Land and Agricultural Development Bank of South Afr</w:t>
      </w:r>
      <w:r>
        <w:rPr>
          <w:sz w:val="20"/>
          <w:szCs w:val="20"/>
        </w:rPr>
        <w:t>ica</w:t>
      </w:r>
    </w:p>
    <w:p w:rsidR="00CC51A5" w:rsidRDefault="00CC51A5" w:rsidP="00CC51A5">
      <w:pPr>
        <w:pStyle w:val="ListParagraph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Landesbank Baden W</w:t>
      </w:r>
      <w:r w:rsidR="00DA26A9" w:rsidRPr="00DA26A9">
        <w:rPr>
          <w:sz w:val="20"/>
          <w:szCs w:val="20"/>
        </w:rPr>
        <w:t>ü</w:t>
      </w:r>
      <w:r w:rsidRPr="000717F4">
        <w:rPr>
          <w:sz w:val="20"/>
          <w:szCs w:val="20"/>
        </w:rPr>
        <w:t>rttemberg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Landsbankinn</w:t>
      </w:r>
    </w:p>
    <w:p w:rsidR="00056611" w:rsidRPr="00056611" w:rsidRDefault="00056611" w:rsidP="0005661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Lloyds Banking Group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Maha agriculture microfinance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Mauritius Commercial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Mitsubishi</w:t>
      </w:r>
      <w:r w:rsidR="00E86534">
        <w:rPr>
          <w:sz w:val="20"/>
          <w:szCs w:val="20"/>
        </w:rPr>
        <w:t xml:space="preserve"> UFG</w:t>
      </w:r>
      <w:r w:rsidRPr="000717F4">
        <w:rPr>
          <w:sz w:val="20"/>
          <w:szCs w:val="20"/>
        </w:rPr>
        <w:t xml:space="preserve"> Financial Group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Mizuho Financial Group</w:t>
      </w:r>
    </w:p>
    <w:p w:rsid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National Australia 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National Bank of Canada</w:t>
      </w:r>
    </w:p>
    <w:p w:rsidR="00CC51A5" w:rsidRPr="000717F4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Natixis</w:t>
      </w:r>
    </w:p>
    <w:p w:rsid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Nordea</w:t>
      </w:r>
    </w:p>
    <w:p w:rsidR="000A3BB5" w:rsidRPr="00CC51A5" w:rsidRDefault="000A3BB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Nykredit</w:t>
      </w:r>
      <w:bookmarkStart w:id="0" w:name="_GoBack"/>
      <w:bookmarkEnd w:id="0"/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OP Financial Group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Piraeus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Polaris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Produbanco Grupo Promerica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Rabobank</w:t>
      </w:r>
    </w:p>
    <w:p w:rsidR="001A2DC2" w:rsidRDefault="00275809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1A2DC2" w:rsidRPr="000717F4">
        <w:rPr>
          <w:sz w:val="20"/>
          <w:szCs w:val="20"/>
        </w:rPr>
        <w:t>Royal Bank of Scotland</w:t>
      </w:r>
      <w:r>
        <w:rPr>
          <w:sz w:val="20"/>
          <w:szCs w:val="20"/>
        </w:rPr>
        <w:t xml:space="preserve"> Group plc.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Santander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SEB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Şekerbank</w:t>
      </w:r>
    </w:p>
    <w:p w:rsid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Shinhan Financial Group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Societe Generale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Sovcombank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Spare</w:t>
      </w:r>
      <w:r w:rsidR="00056611">
        <w:rPr>
          <w:sz w:val="20"/>
          <w:szCs w:val="20"/>
        </w:rPr>
        <w:t>B</w:t>
      </w:r>
      <w:r w:rsidRPr="000717F4">
        <w:rPr>
          <w:sz w:val="20"/>
          <w:szCs w:val="20"/>
        </w:rPr>
        <w:t>ank 1 Ost</w:t>
      </w:r>
      <w:r w:rsidR="00B609BD">
        <w:rPr>
          <w:sz w:val="20"/>
          <w:szCs w:val="20"/>
        </w:rPr>
        <w:t>landet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Spare</w:t>
      </w:r>
      <w:r w:rsidR="00056611">
        <w:rPr>
          <w:sz w:val="20"/>
          <w:szCs w:val="20"/>
        </w:rPr>
        <w:t>B</w:t>
      </w:r>
      <w:r w:rsidRPr="000717F4">
        <w:rPr>
          <w:sz w:val="20"/>
          <w:szCs w:val="20"/>
        </w:rPr>
        <w:t>ank 1 SMN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SpareBank 1 SR-Bank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Sparkasse Bank (Macedonia)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Standard Bank</w:t>
      </w:r>
      <w:r w:rsidR="00B73DCB">
        <w:rPr>
          <w:sz w:val="20"/>
          <w:szCs w:val="20"/>
        </w:rPr>
        <w:t xml:space="preserve"> Group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Standard Chartered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Sumitomo Mitsui Financial Group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Sumitomo Mitsui Trust Holdings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Suncorp Bank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Swedbank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Triodos Bank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UBS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Vision Banco</w:t>
      </w:r>
    </w:p>
    <w:p w:rsidR="001A2DC2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 xml:space="preserve">Wema Bank 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Westpac Group</w:t>
      </w:r>
    </w:p>
    <w:p w:rsidR="001A2DC2" w:rsidRDefault="000717F4" w:rsidP="000717F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Yapı Kredi</w:t>
      </w:r>
      <w:r w:rsidR="001A2DC2" w:rsidRPr="000717F4">
        <w:rPr>
          <w:sz w:val="20"/>
          <w:szCs w:val="20"/>
        </w:rPr>
        <w:t xml:space="preserve"> Bank</w:t>
      </w:r>
    </w:p>
    <w:p w:rsidR="00CC51A5" w:rsidRPr="00CC51A5" w:rsidRDefault="00CC51A5" w:rsidP="00CC51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Yes Bank </w:t>
      </w:r>
    </w:p>
    <w:p w:rsidR="001A2DC2" w:rsidRPr="000717F4" w:rsidRDefault="001A2DC2" w:rsidP="001A2DC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717F4">
        <w:rPr>
          <w:sz w:val="20"/>
          <w:szCs w:val="20"/>
        </w:rPr>
        <w:t>Zenith Bank </w:t>
      </w:r>
    </w:p>
    <w:p w:rsidR="000911CA" w:rsidRPr="000717F4" w:rsidRDefault="0044786D">
      <w:pPr>
        <w:rPr>
          <w:sz w:val="20"/>
          <w:szCs w:val="20"/>
        </w:rPr>
      </w:pPr>
    </w:p>
    <w:sectPr w:rsidR="000911CA" w:rsidRPr="000717F4" w:rsidSect="00CC51A5">
      <w:headerReference w:type="default" r:id="rId7"/>
      <w:pgSz w:w="12240" w:h="15840"/>
      <w:pgMar w:top="720" w:right="720" w:bottom="720" w:left="720" w:header="850" w:footer="708" w:gutter="0"/>
      <w:cols w:num="3" w:space="0" w:equalWidth="0">
        <w:col w:w="3856" w:space="0"/>
        <w:col w:w="3472" w:space="0"/>
        <w:col w:w="34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86D" w:rsidRDefault="0044786D" w:rsidP="00844AD5">
      <w:pPr>
        <w:spacing w:after="0" w:line="240" w:lineRule="auto"/>
      </w:pPr>
      <w:r>
        <w:separator/>
      </w:r>
    </w:p>
  </w:endnote>
  <w:endnote w:type="continuationSeparator" w:id="0">
    <w:p w:rsidR="0044786D" w:rsidRDefault="0044786D" w:rsidP="0084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86D" w:rsidRDefault="0044786D" w:rsidP="00844AD5">
      <w:pPr>
        <w:spacing w:after="0" w:line="240" w:lineRule="auto"/>
      </w:pPr>
      <w:r>
        <w:separator/>
      </w:r>
    </w:p>
  </w:footnote>
  <w:footnote w:type="continuationSeparator" w:id="0">
    <w:p w:rsidR="0044786D" w:rsidRDefault="0044786D" w:rsidP="0084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AD5" w:rsidRPr="00CC51A5" w:rsidRDefault="00844AD5" w:rsidP="00844AD5">
    <w:pPr>
      <w:pStyle w:val="Header"/>
      <w:jc w:val="center"/>
      <w:rPr>
        <w:b/>
        <w:bCs/>
        <w:sz w:val="28"/>
        <w:szCs w:val="28"/>
      </w:rPr>
    </w:pPr>
    <w:r w:rsidRPr="00CC51A5">
      <w:rPr>
        <w:b/>
        <w:bCs/>
        <w:sz w:val="28"/>
        <w:szCs w:val="28"/>
      </w:rPr>
      <w:t>Complete list of Founding Signatories to the Principles for Responsible Banking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03774"/>
    <w:multiLevelType w:val="hybridMultilevel"/>
    <w:tmpl w:val="1AC662F0"/>
    <w:lvl w:ilvl="0" w:tplc="FBCED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665A8"/>
    <w:multiLevelType w:val="hybridMultilevel"/>
    <w:tmpl w:val="31A88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D51C20"/>
    <w:multiLevelType w:val="hybridMultilevel"/>
    <w:tmpl w:val="44FE46D8"/>
    <w:lvl w:ilvl="0" w:tplc="5DA88D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C2"/>
    <w:rsid w:val="00007B36"/>
    <w:rsid w:val="00042D6B"/>
    <w:rsid w:val="00056611"/>
    <w:rsid w:val="000717F4"/>
    <w:rsid w:val="000A3BB5"/>
    <w:rsid w:val="000B1B79"/>
    <w:rsid w:val="000C086D"/>
    <w:rsid w:val="000D1FD3"/>
    <w:rsid w:val="001A2DC2"/>
    <w:rsid w:val="001F6ED6"/>
    <w:rsid w:val="00275809"/>
    <w:rsid w:val="002843B7"/>
    <w:rsid w:val="002B029F"/>
    <w:rsid w:val="00350DBA"/>
    <w:rsid w:val="003B787E"/>
    <w:rsid w:val="0044786D"/>
    <w:rsid w:val="00544211"/>
    <w:rsid w:val="005D7C6D"/>
    <w:rsid w:val="00671E58"/>
    <w:rsid w:val="006A4780"/>
    <w:rsid w:val="007448E3"/>
    <w:rsid w:val="00844AD5"/>
    <w:rsid w:val="008A3DAA"/>
    <w:rsid w:val="009532BD"/>
    <w:rsid w:val="00A36A94"/>
    <w:rsid w:val="00B609BD"/>
    <w:rsid w:val="00B73DCB"/>
    <w:rsid w:val="00B9719B"/>
    <w:rsid w:val="00C07946"/>
    <w:rsid w:val="00C358B8"/>
    <w:rsid w:val="00C45288"/>
    <w:rsid w:val="00C8256E"/>
    <w:rsid w:val="00C95CD0"/>
    <w:rsid w:val="00CC51A5"/>
    <w:rsid w:val="00D1160D"/>
    <w:rsid w:val="00D62F7A"/>
    <w:rsid w:val="00DA26A9"/>
    <w:rsid w:val="00E02718"/>
    <w:rsid w:val="00E277DB"/>
    <w:rsid w:val="00E70F5B"/>
    <w:rsid w:val="00E86534"/>
    <w:rsid w:val="00F1715C"/>
    <w:rsid w:val="00F3365E"/>
    <w:rsid w:val="00F374CA"/>
    <w:rsid w:val="00FC1108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80A16"/>
  <w15:chartTrackingRefBased/>
  <w15:docId w15:val="{11151358-059B-42DC-8086-99F7B91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AD5"/>
  </w:style>
  <w:style w:type="paragraph" w:styleId="Footer">
    <w:name w:val="footer"/>
    <w:basedOn w:val="Normal"/>
    <w:link w:val="FooterChar"/>
    <w:uiPriority w:val="99"/>
    <w:unhideWhenUsed/>
    <w:rsid w:val="0084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Victoria GONZALEZ</cp:lastModifiedBy>
  <cp:revision>2</cp:revision>
  <dcterms:created xsi:type="dcterms:W3CDTF">2019-09-18T14:32:00Z</dcterms:created>
  <dcterms:modified xsi:type="dcterms:W3CDTF">2019-09-18T14:32:00Z</dcterms:modified>
</cp:coreProperties>
</file>